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949B7" w14:textId="3166F2FF" w:rsidR="00D11A4D" w:rsidRPr="002E3B47" w:rsidRDefault="00071741" w:rsidP="00A01C01">
      <w:pPr>
        <w:pStyle w:val="Title"/>
      </w:pPr>
      <w:bookmarkStart w:id="0" w:name="_GoBack"/>
      <w:bookmarkEnd w:id="0"/>
      <w:r>
        <w:t>FAQ – FAMILIES FIRST CORONAVIRUS RESPONSE ACT (ffcra)</w:t>
      </w:r>
    </w:p>
    <w:p w14:paraId="0B20225B" w14:textId="34D3DB2B" w:rsidR="0028282F" w:rsidRPr="002E3B47" w:rsidRDefault="00071741" w:rsidP="002E3B47">
      <w:pPr>
        <w:pStyle w:val="Subtitle"/>
      </w:pPr>
      <w:r>
        <w:t>For Grantees under Title VI of the Older Americans Act</w:t>
      </w:r>
    </w:p>
    <w:p w14:paraId="59DA3624" w14:textId="150A8CB1" w:rsidR="00F01057" w:rsidRDefault="00071741" w:rsidP="005C1FE3">
      <w:pPr>
        <w:spacing w:after="360"/>
        <w:rPr>
          <w:rStyle w:val="SubtleEmphasis"/>
        </w:rPr>
      </w:pPr>
      <w:r>
        <w:rPr>
          <w:rStyle w:val="SubtleEmphasis"/>
        </w:rPr>
        <w:t>March 27, 2020</w:t>
      </w:r>
    </w:p>
    <w:p w14:paraId="45B462C0" w14:textId="5CB76EB6" w:rsidR="00B00A1E" w:rsidRDefault="00071741" w:rsidP="0097176C">
      <w:pPr>
        <w:pStyle w:val="NoSpacing"/>
        <w:spacing w:after="120"/>
      </w:pPr>
      <w:r>
        <w:t xml:space="preserve">These </w:t>
      </w:r>
      <w:r w:rsidRPr="00071741">
        <w:rPr>
          <w:lang w:bidi="en-US"/>
        </w:rPr>
        <w:t xml:space="preserve">FAQs are provided in response to questions received by the ACL on the supplemental funding provided by the Families First Coronavirus Response Act (FFCRA) for Title VI nutrition programs. </w:t>
      </w:r>
      <w:r w:rsidR="00AA103A">
        <w:rPr>
          <w:lang w:bidi="en-US"/>
        </w:rPr>
        <w:t xml:space="preserve"> </w:t>
      </w:r>
      <w:r w:rsidRPr="00071741">
        <w:rPr>
          <w:lang w:bidi="en-US"/>
        </w:rPr>
        <w:t>Grant awards were issued by the ACL on March 25, 2020.</w:t>
      </w:r>
    </w:p>
    <w:p w14:paraId="2F6AD771" w14:textId="3A505A5C" w:rsidR="00D07DF7" w:rsidRDefault="00071741" w:rsidP="004C1CC9">
      <w:pPr>
        <w:pStyle w:val="Heading1"/>
        <w:spacing w:before="360" w:after="120"/>
        <w:rPr>
          <w:rFonts w:ascii="Times New Roman" w:hAnsi="Times New Roman" w:cs="Times New Roman"/>
          <w:sz w:val="24"/>
          <w:szCs w:val="24"/>
        </w:rPr>
      </w:pPr>
      <w:r>
        <w:t>Using your FFCRA Funds</w:t>
      </w:r>
    </w:p>
    <w:p w14:paraId="63100E34" w14:textId="55CA0F98" w:rsidR="00D07DF7" w:rsidRDefault="00071741" w:rsidP="0028369D">
      <w:pPr>
        <w:pStyle w:val="NoSpacing"/>
        <w:spacing w:before="120" w:after="120"/>
      </w:pPr>
      <w:r w:rsidRPr="00071741">
        <w:t>What can we spend these funds on?</w:t>
      </w:r>
      <w:r>
        <w:t xml:space="preserve"> </w:t>
      </w:r>
      <w:r w:rsidRPr="00071741">
        <w:t xml:space="preserve"> Is it the same as Title VI?</w:t>
      </w:r>
    </w:p>
    <w:p w14:paraId="7B6FF0D1" w14:textId="041F34FB" w:rsidR="00071741" w:rsidRDefault="00071741" w:rsidP="00071741">
      <w:pPr>
        <w:pStyle w:val="ListParagraph"/>
      </w:pPr>
      <w:r w:rsidRPr="00071741">
        <w:rPr>
          <w:lang w:bidi="en-US"/>
        </w:rPr>
        <w:t xml:space="preserve">Funds are approved for the nutrition and supportive services typically provided under Title VI Part A/B. </w:t>
      </w:r>
      <w:r w:rsidR="00AA103A">
        <w:rPr>
          <w:lang w:bidi="en-US"/>
        </w:rPr>
        <w:t xml:space="preserve"> </w:t>
      </w:r>
      <w:r w:rsidRPr="00071741">
        <w:rPr>
          <w:lang w:bidi="en-US"/>
        </w:rPr>
        <w:t xml:space="preserve">Please also reference the </w:t>
      </w:r>
      <w:hyperlink r:id="rId11">
        <w:r w:rsidRPr="00071741">
          <w:rPr>
            <w:rStyle w:val="Hyperlink"/>
            <w:lang w:bidi="en-US"/>
          </w:rPr>
          <w:t>Older Americans Disaster Relief FAQ</w:t>
        </w:r>
      </w:hyperlink>
      <w:r w:rsidRPr="00071741">
        <w:rPr>
          <w:lang w:bidi="en-US"/>
        </w:rPr>
        <w:t>.</w:t>
      </w:r>
    </w:p>
    <w:p w14:paraId="0A5341B5" w14:textId="6D0B6CF1" w:rsidR="00071741" w:rsidRDefault="006010BB" w:rsidP="00071741">
      <w:pPr>
        <w:pStyle w:val="NoSpacing"/>
        <w:spacing w:before="120" w:after="120"/>
      </w:pPr>
      <w:r>
        <w:t>How should we plan to report on these funds?</w:t>
      </w:r>
    </w:p>
    <w:p w14:paraId="05BD2574" w14:textId="12D0F156" w:rsidR="00071741" w:rsidRPr="00071741" w:rsidRDefault="00071741" w:rsidP="00071741">
      <w:pPr>
        <w:pStyle w:val="ListParagraph"/>
        <w:rPr>
          <w:lang w:bidi="en-US"/>
        </w:rPr>
      </w:pPr>
      <w:r w:rsidRPr="00071741">
        <w:rPr>
          <w:lang w:bidi="en-US"/>
        </w:rPr>
        <w:t>For financial reporting and accounting purposes grantees should track these funds separately from the Title VI Older Americans Act grants.</w:t>
      </w:r>
    </w:p>
    <w:p w14:paraId="56E6A9F7" w14:textId="66CE9589" w:rsidR="00071741" w:rsidRPr="00071741" w:rsidRDefault="00071741" w:rsidP="00071741">
      <w:pPr>
        <w:pStyle w:val="ListParagraph"/>
        <w:rPr>
          <w:lang w:bidi="en-US"/>
        </w:rPr>
      </w:pPr>
      <w:r w:rsidRPr="00071741">
        <w:rPr>
          <w:lang w:bidi="en-US"/>
        </w:rPr>
        <w:t>FFCRA funds have been issued under a separate grant award number; therefore, funds must be accounted for separately from the regular issuance of Title VI Older Americans Act funding.</w:t>
      </w:r>
    </w:p>
    <w:p w14:paraId="47B07441" w14:textId="0952CE4B" w:rsidR="00071741" w:rsidRPr="00071741" w:rsidRDefault="00071741" w:rsidP="00071741">
      <w:pPr>
        <w:pStyle w:val="ListParagraph"/>
        <w:rPr>
          <w:lang w:bidi="en-US"/>
        </w:rPr>
      </w:pPr>
      <w:r w:rsidRPr="00071741">
        <w:rPr>
          <w:lang w:bidi="en-US"/>
        </w:rPr>
        <w:t>Grantees are required to continue maintaining appropriate records and documentation to support the charges against the Federal awards.</w:t>
      </w:r>
    </w:p>
    <w:p w14:paraId="370C710E" w14:textId="337F5D4E" w:rsidR="00071741" w:rsidRDefault="006010BB" w:rsidP="006010BB">
      <w:pPr>
        <w:pStyle w:val="ListParagraph"/>
        <w:rPr>
          <w:lang w:bidi="en-US"/>
        </w:rPr>
      </w:pPr>
      <w:r w:rsidRPr="006010BB">
        <w:rPr>
          <w:lang w:bidi="en-US"/>
        </w:rPr>
        <w:t xml:space="preserve">Additional information will be coming out very shortly on programmatic reporting requirements. </w:t>
      </w:r>
      <w:r w:rsidR="00AA103A">
        <w:rPr>
          <w:lang w:bidi="en-US"/>
        </w:rPr>
        <w:t xml:space="preserve"> </w:t>
      </w:r>
      <w:r w:rsidRPr="006010BB">
        <w:rPr>
          <w:lang w:bidi="en-US"/>
        </w:rPr>
        <w:t>At a minimum and where possible, grantees should record the number of clients to whom service is provided, the service provided and the number of units of service provided.</w:t>
      </w:r>
    </w:p>
    <w:p w14:paraId="7359F7AE" w14:textId="7A025422" w:rsidR="00071741" w:rsidRDefault="006010BB" w:rsidP="00071741">
      <w:pPr>
        <w:pStyle w:val="NoSpacing"/>
        <w:spacing w:before="120" w:after="120"/>
      </w:pPr>
      <w:r>
        <w:t>We closed our congregate site and are allowing drive-through and take-out meals only.  Can we use this FFCRA funding to pay for those meals?</w:t>
      </w:r>
    </w:p>
    <w:p w14:paraId="5D7FC6FE" w14:textId="54946A88" w:rsidR="00071741" w:rsidRDefault="006010BB" w:rsidP="00071741">
      <w:pPr>
        <w:pStyle w:val="ListParagraph"/>
      </w:pPr>
      <w:r>
        <w:rPr>
          <w:lang w:bidi="en-US"/>
        </w:rPr>
        <w:t>Yes.</w:t>
      </w:r>
    </w:p>
    <w:p w14:paraId="0A01F6FD" w14:textId="6CE77138" w:rsidR="00071741" w:rsidRDefault="006010BB" w:rsidP="00071741">
      <w:pPr>
        <w:pStyle w:val="NoSpacing"/>
        <w:spacing w:before="120" w:after="120"/>
      </w:pPr>
      <w:r>
        <w:t>Can we use these funds to pay for supplies and equipment related to COVID-19 response?</w:t>
      </w:r>
    </w:p>
    <w:p w14:paraId="2300F651" w14:textId="06D5B21A" w:rsidR="00D85188" w:rsidRPr="004D13BA" w:rsidRDefault="006010BB" w:rsidP="004D13BA">
      <w:pPr>
        <w:pStyle w:val="ListParagraph"/>
        <w:rPr>
          <w:lang w:bidi="en-US"/>
        </w:rPr>
      </w:pPr>
      <w:r w:rsidRPr="006010BB">
        <w:rPr>
          <w:lang w:bidi="en-US"/>
        </w:rPr>
        <w:t>Yes</w:t>
      </w:r>
      <w:r>
        <w:rPr>
          <w:lang w:bidi="en-US"/>
        </w:rPr>
        <w:t>,</w:t>
      </w:r>
      <w:r w:rsidRPr="006010BB">
        <w:rPr>
          <w:lang w:bidi="en-US"/>
        </w:rPr>
        <w:t xml:space="preserve"> these funds can pay for supplies and equipment directly related to your Title VI Nutrition Programs. </w:t>
      </w:r>
      <w:r>
        <w:rPr>
          <w:lang w:bidi="en-US"/>
        </w:rPr>
        <w:t xml:space="preserve"> </w:t>
      </w:r>
      <w:r w:rsidRPr="006010BB">
        <w:rPr>
          <w:lang w:bidi="en-US"/>
        </w:rPr>
        <w:t>For example, such supplies and equipment may include carry-out containers, warming bags or coolers, and other supplies needed to support healthy living for elders during this COVID-19 pandemic and extended isolation period.</w:t>
      </w:r>
    </w:p>
    <w:p w14:paraId="2BF90E4A" w14:textId="77777777" w:rsidR="00D85188" w:rsidRPr="00D85188" w:rsidRDefault="00D85188" w:rsidP="00D85188"/>
    <w:sectPr w:rsidR="00D85188" w:rsidRPr="00D85188" w:rsidSect="00C578F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7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2669" w14:textId="77777777" w:rsidR="00323B5F" w:rsidRDefault="00323B5F" w:rsidP="00944993">
      <w:pPr>
        <w:spacing w:after="0" w:line="240" w:lineRule="auto"/>
      </w:pPr>
      <w:r>
        <w:separator/>
      </w:r>
    </w:p>
  </w:endnote>
  <w:endnote w:type="continuationSeparator" w:id="0">
    <w:p w14:paraId="565CCE8C" w14:textId="77777777" w:rsidR="00323B5F" w:rsidRDefault="00323B5F" w:rsidP="0094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7D30" w14:textId="1917E93A" w:rsidR="00944993" w:rsidRDefault="00944993" w:rsidP="00CF0395">
    <w:pPr>
      <w:pStyle w:val="Foot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5B160F" wp14:editId="4D33EABF">
          <wp:simplePos x="0" y="0"/>
          <wp:positionH relativeFrom="column">
            <wp:posOffset>-457200</wp:posOffset>
          </wp:positionH>
          <wp:positionV relativeFrom="paragraph">
            <wp:posOffset>-2362835</wp:posOffset>
          </wp:positionV>
          <wp:extent cx="7771440" cy="2532380"/>
          <wp:effectExtent l="0" t="0" r="1270" b="1270"/>
          <wp:wrapNone/>
          <wp:docPr id="258" name="Picture 258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/>
                  <a:stretch/>
                </pic:blipFill>
                <pic:spPr bwMode="auto">
                  <a:xfrm>
                    <a:off x="0" y="0"/>
                    <a:ext cx="7771440" cy="2532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5B60" w14:textId="262A1FC3" w:rsidR="003364C4" w:rsidRDefault="003364C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113948" wp14:editId="32B53FCA">
          <wp:simplePos x="0" y="0"/>
          <wp:positionH relativeFrom="column">
            <wp:posOffset>-457200</wp:posOffset>
          </wp:positionH>
          <wp:positionV relativeFrom="paragraph">
            <wp:posOffset>-2355850</wp:posOffset>
          </wp:positionV>
          <wp:extent cx="7771440" cy="2532380"/>
          <wp:effectExtent l="0" t="0" r="1270" b="1270"/>
          <wp:wrapNone/>
          <wp:docPr id="260" name="Picture 260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/>
                  <a:stretch/>
                </pic:blipFill>
                <pic:spPr bwMode="auto">
                  <a:xfrm>
                    <a:off x="0" y="0"/>
                    <a:ext cx="7771440" cy="2532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74D1" w14:textId="77777777" w:rsidR="00323B5F" w:rsidRDefault="00323B5F" w:rsidP="00944993">
      <w:pPr>
        <w:spacing w:after="0" w:line="240" w:lineRule="auto"/>
      </w:pPr>
      <w:r>
        <w:separator/>
      </w:r>
    </w:p>
  </w:footnote>
  <w:footnote w:type="continuationSeparator" w:id="0">
    <w:p w14:paraId="55689207" w14:textId="77777777" w:rsidR="00323B5F" w:rsidRDefault="00323B5F" w:rsidP="0094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AE17" w14:textId="45C0E176" w:rsidR="00944993" w:rsidRDefault="00944993" w:rsidP="00CF0395">
    <w:pPr>
      <w:pStyle w:val="Header"/>
      <w:ind w:hanging="720"/>
    </w:pPr>
  </w:p>
  <w:p w14:paraId="117D1F58" w14:textId="75B0F676" w:rsidR="00E215C7" w:rsidRPr="003364C4" w:rsidRDefault="00CB3E17" w:rsidP="00C578F6">
    <w:pPr>
      <w:pStyle w:val="Header"/>
      <w:ind w:hanging="720"/>
      <w:jc w:val="right"/>
      <w:rPr>
        <w:rFonts w:ascii="Century Gothic" w:hAnsi="Century Gothic" w:cstheme="majorHAnsi"/>
        <w:color w:val="461214" w:themeColor="accent1" w:themeShade="80"/>
        <w:sz w:val="18"/>
        <w:szCs w:val="18"/>
      </w:rPr>
    </w:pPr>
    <w:r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t>ACL</w:t>
    </w:r>
    <w:r w:rsidR="00E215C7"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t xml:space="preserve"> COVID-19 Response</w:t>
    </w:r>
    <w:r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t xml:space="preserve"> · </w:t>
    </w:r>
    <w:r w:rsidR="00041940">
      <w:rPr>
        <w:rFonts w:ascii="Century Gothic" w:hAnsi="Century Gothic" w:cstheme="majorHAnsi"/>
        <w:color w:val="461214" w:themeColor="accent1" w:themeShade="80"/>
        <w:sz w:val="18"/>
        <w:szCs w:val="18"/>
      </w:rPr>
      <w:t>&lt;TITLE HERE&gt;</w:t>
    </w:r>
    <w:r w:rsidR="00D931F3"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t xml:space="preserve"> · Page </w:t>
    </w:r>
    <w:r w:rsidR="006C5FA0"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fldChar w:fldCharType="begin"/>
    </w:r>
    <w:r w:rsidR="006C5FA0"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instrText xml:space="preserve"> PAGE   \* MERGEFORMAT </w:instrText>
    </w:r>
    <w:r w:rsidR="006C5FA0"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fldChar w:fldCharType="separate"/>
    </w:r>
    <w:r w:rsidR="004D13BA">
      <w:rPr>
        <w:rFonts w:ascii="Century Gothic" w:hAnsi="Century Gothic" w:cstheme="majorHAnsi"/>
        <w:noProof/>
        <w:color w:val="461214" w:themeColor="accent1" w:themeShade="80"/>
        <w:sz w:val="18"/>
        <w:szCs w:val="18"/>
      </w:rPr>
      <w:t>2</w:t>
    </w:r>
    <w:r w:rsidR="006C5FA0" w:rsidRPr="003364C4">
      <w:rPr>
        <w:rFonts w:ascii="Century Gothic" w:hAnsi="Century Gothic" w:cstheme="majorHAnsi"/>
        <w:noProof/>
        <w:color w:val="461214" w:themeColor="accent1" w:themeShade="80"/>
        <w:sz w:val="18"/>
        <w:szCs w:val="18"/>
      </w:rPr>
      <w:fldChar w:fldCharType="end"/>
    </w:r>
    <w:r w:rsidR="00D931F3" w:rsidRPr="003364C4">
      <w:rPr>
        <w:rFonts w:ascii="Century Gothic" w:hAnsi="Century Gothic" w:cstheme="majorHAnsi"/>
        <w:color w:val="461214" w:themeColor="accent1" w:themeShade="80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4E8E" w14:textId="1C820FB3" w:rsidR="00A01C01" w:rsidRDefault="00A01C01" w:rsidP="00A01C01">
    <w:pPr>
      <w:pStyle w:val="Header"/>
      <w:ind w:hanging="720"/>
    </w:pPr>
    <w:r>
      <w:rPr>
        <w:noProof/>
      </w:rPr>
      <w:drawing>
        <wp:inline distT="0" distB="0" distL="0" distR="0" wp14:anchorId="44A0F89B" wp14:editId="6AEBA5D2">
          <wp:extent cx="7772400" cy="1452194"/>
          <wp:effectExtent l="0" t="0" r="0" b="0"/>
          <wp:docPr id="259" name="Picture 259" descr="Administration for Community Living COVID-19 Response. ACL.gov/COVID-19. ACL is an operating division of the U.S. Department of Health and Human Servi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headCOVID19Respon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04" b="12387"/>
                  <a:stretch/>
                </pic:blipFill>
                <pic:spPr bwMode="auto">
                  <a:xfrm>
                    <a:off x="0" y="0"/>
                    <a:ext cx="7772400" cy="1452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36B"/>
    <w:multiLevelType w:val="hybridMultilevel"/>
    <w:tmpl w:val="B02894F2"/>
    <w:lvl w:ilvl="0" w:tplc="9E76A3EC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3B089C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D3BED0E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AF0CEE96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7AC68F4A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en-US"/>
      </w:rPr>
    </w:lvl>
    <w:lvl w:ilvl="5" w:tplc="7680A530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6" w:tplc="BA54B15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20D0552C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en-US"/>
      </w:rPr>
    </w:lvl>
    <w:lvl w:ilvl="8" w:tplc="D2F4685A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180D9D"/>
    <w:multiLevelType w:val="hybridMultilevel"/>
    <w:tmpl w:val="77CC389A"/>
    <w:lvl w:ilvl="0" w:tplc="B0CE6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98F"/>
    <w:multiLevelType w:val="hybridMultilevel"/>
    <w:tmpl w:val="4182A976"/>
    <w:lvl w:ilvl="0" w:tplc="9E92C7E0">
      <w:numFmt w:val="bullet"/>
      <w:pStyle w:val="ListParagraph"/>
      <w:lvlText w:val="•"/>
      <w:lvlJc w:val="left"/>
      <w:pPr>
        <w:ind w:left="720" w:hanging="360"/>
      </w:pPr>
      <w:rPr>
        <w:rFonts w:ascii="Calibri" w:hAnsi="Calibri" w:hint="default"/>
        <w:color w:val="8D24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3"/>
    <w:rsid w:val="00001311"/>
    <w:rsid w:val="00041940"/>
    <w:rsid w:val="00071741"/>
    <w:rsid w:val="00116C89"/>
    <w:rsid w:val="00131E50"/>
    <w:rsid w:val="0028282F"/>
    <w:rsid w:val="0028369D"/>
    <w:rsid w:val="002D6AB7"/>
    <w:rsid w:val="002E3B47"/>
    <w:rsid w:val="002E57B5"/>
    <w:rsid w:val="002F76B9"/>
    <w:rsid w:val="00321C6E"/>
    <w:rsid w:val="00323B5F"/>
    <w:rsid w:val="003364C4"/>
    <w:rsid w:val="003C152C"/>
    <w:rsid w:val="003D6E07"/>
    <w:rsid w:val="003F3BD8"/>
    <w:rsid w:val="00425DA8"/>
    <w:rsid w:val="00440037"/>
    <w:rsid w:val="004800DD"/>
    <w:rsid w:val="004C1CC9"/>
    <w:rsid w:val="004D13BA"/>
    <w:rsid w:val="005C1FE3"/>
    <w:rsid w:val="005E73E2"/>
    <w:rsid w:val="006010BB"/>
    <w:rsid w:val="006A20AB"/>
    <w:rsid w:val="006C5FA0"/>
    <w:rsid w:val="00782AEA"/>
    <w:rsid w:val="007B22ED"/>
    <w:rsid w:val="00847A18"/>
    <w:rsid w:val="008C4C77"/>
    <w:rsid w:val="00944993"/>
    <w:rsid w:val="0097176C"/>
    <w:rsid w:val="009E7426"/>
    <w:rsid w:val="00A01C01"/>
    <w:rsid w:val="00AA103A"/>
    <w:rsid w:val="00B00A1E"/>
    <w:rsid w:val="00B540A9"/>
    <w:rsid w:val="00B67174"/>
    <w:rsid w:val="00BB78A4"/>
    <w:rsid w:val="00BF2F50"/>
    <w:rsid w:val="00C578F6"/>
    <w:rsid w:val="00CB3E17"/>
    <w:rsid w:val="00CE132A"/>
    <w:rsid w:val="00CF0395"/>
    <w:rsid w:val="00D07DF7"/>
    <w:rsid w:val="00D11A4D"/>
    <w:rsid w:val="00D8327A"/>
    <w:rsid w:val="00D85188"/>
    <w:rsid w:val="00D931F3"/>
    <w:rsid w:val="00E215C7"/>
    <w:rsid w:val="00E8435D"/>
    <w:rsid w:val="00E9369E"/>
    <w:rsid w:val="00EF17B5"/>
    <w:rsid w:val="00F01057"/>
    <w:rsid w:val="00F04978"/>
    <w:rsid w:val="00F22893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18DBC"/>
  <w15:chartTrackingRefBased/>
  <w15:docId w15:val="{20BA9E01-28CC-4807-AD0F-3D85B401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89"/>
  </w:style>
  <w:style w:type="paragraph" w:styleId="Heading1">
    <w:name w:val="heading 1"/>
    <w:basedOn w:val="Normal"/>
    <w:next w:val="Normal"/>
    <w:link w:val="Heading1Char"/>
    <w:uiPriority w:val="9"/>
    <w:qFormat/>
    <w:rsid w:val="00F22893"/>
    <w:pPr>
      <w:keepNext/>
      <w:keepLines/>
      <w:spacing w:before="400" w:after="40" w:line="240" w:lineRule="auto"/>
      <w:outlineLvl w:val="0"/>
    </w:pPr>
    <w:rPr>
      <w:rFonts w:ascii="Century Gothic" w:eastAsiaTheme="majorEastAsia" w:hAnsi="Century Gothic" w:cstheme="majorBidi"/>
      <w:b/>
      <w:bCs/>
      <w:color w:val="8D2428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76C"/>
    <w:pPr>
      <w:keepNext/>
      <w:keepLines/>
      <w:spacing w:before="240" w:after="60" w:line="240" w:lineRule="auto"/>
      <w:outlineLvl w:val="1"/>
    </w:pPr>
    <w:rPr>
      <w:rFonts w:ascii="Century Gothic" w:eastAsiaTheme="majorEastAsia" w:hAnsi="Century Gothic" w:cstheme="majorBidi"/>
      <w:color w:val="691B1D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188"/>
    <w:pPr>
      <w:keepNext/>
      <w:keepLines/>
      <w:spacing w:before="120" w:after="40" w:line="240" w:lineRule="auto"/>
      <w:outlineLvl w:val="2"/>
    </w:pPr>
    <w:rPr>
      <w:rFonts w:ascii="Century Gothic" w:eastAsiaTheme="majorEastAsia" w:hAnsi="Century Gothic" w:cstheme="majorBidi"/>
      <w:i/>
      <w:iCs/>
      <w:color w:val="691B1D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91B1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91B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6121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6121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6121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6121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93"/>
  </w:style>
  <w:style w:type="paragraph" w:styleId="Footer">
    <w:name w:val="footer"/>
    <w:basedOn w:val="Normal"/>
    <w:link w:val="FooterChar"/>
    <w:uiPriority w:val="99"/>
    <w:unhideWhenUsed/>
    <w:rsid w:val="0094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93"/>
  </w:style>
  <w:style w:type="character" w:customStyle="1" w:styleId="Heading1Char">
    <w:name w:val="Heading 1 Char"/>
    <w:basedOn w:val="DefaultParagraphFont"/>
    <w:link w:val="Heading1"/>
    <w:uiPriority w:val="9"/>
    <w:rsid w:val="00F22893"/>
    <w:rPr>
      <w:rFonts w:ascii="Century Gothic" w:eastAsiaTheme="majorEastAsia" w:hAnsi="Century Gothic" w:cstheme="majorBidi"/>
      <w:b/>
      <w:bCs/>
      <w:color w:val="8D242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176C"/>
    <w:rPr>
      <w:rFonts w:ascii="Century Gothic" w:eastAsiaTheme="majorEastAsia" w:hAnsi="Century Gothic" w:cstheme="majorBidi"/>
      <w:color w:val="691B1D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5188"/>
    <w:rPr>
      <w:rFonts w:ascii="Century Gothic" w:eastAsiaTheme="majorEastAsia" w:hAnsi="Century Gothic" w:cstheme="majorBidi"/>
      <w:i/>
      <w:iCs/>
      <w:color w:val="691B1D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89"/>
    <w:rPr>
      <w:rFonts w:asciiTheme="majorHAnsi" w:eastAsiaTheme="majorEastAsia" w:hAnsiTheme="majorHAnsi" w:cstheme="majorBidi"/>
      <w:color w:val="691B1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89"/>
    <w:rPr>
      <w:rFonts w:asciiTheme="majorHAnsi" w:eastAsiaTheme="majorEastAsia" w:hAnsiTheme="majorHAnsi" w:cstheme="majorBidi"/>
      <w:caps/>
      <w:color w:val="691B1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89"/>
    <w:rPr>
      <w:rFonts w:asciiTheme="majorHAnsi" w:eastAsiaTheme="majorEastAsia" w:hAnsiTheme="majorHAnsi" w:cstheme="majorBidi"/>
      <w:i/>
      <w:iCs/>
      <w:caps/>
      <w:color w:val="46121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89"/>
    <w:rPr>
      <w:rFonts w:asciiTheme="majorHAnsi" w:eastAsiaTheme="majorEastAsia" w:hAnsiTheme="majorHAnsi" w:cstheme="majorBidi"/>
      <w:b/>
      <w:bCs/>
      <w:color w:val="46121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89"/>
    <w:rPr>
      <w:rFonts w:asciiTheme="majorHAnsi" w:eastAsiaTheme="majorEastAsia" w:hAnsiTheme="majorHAnsi" w:cstheme="majorBidi"/>
      <w:b/>
      <w:bCs/>
      <w:i/>
      <w:iCs/>
      <w:color w:val="46121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89"/>
    <w:rPr>
      <w:rFonts w:asciiTheme="majorHAnsi" w:eastAsiaTheme="majorEastAsia" w:hAnsiTheme="majorHAnsi" w:cstheme="majorBidi"/>
      <w:i/>
      <w:iCs/>
      <w:color w:val="46121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C89"/>
    <w:pPr>
      <w:spacing w:line="240" w:lineRule="auto"/>
    </w:pPr>
    <w:rPr>
      <w:b/>
      <w:bCs/>
      <w:smallCaps/>
      <w:color w:val="2B2B2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1C01"/>
    <w:pPr>
      <w:spacing w:before="360" w:after="0" w:line="204" w:lineRule="auto"/>
      <w:contextualSpacing/>
    </w:pPr>
    <w:rPr>
      <w:rFonts w:ascii="Century Gothic" w:eastAsiaTheme="majorEastAsia" w:hAnsi="Century Gothic" w:cstheme="majorBidi"/>
      <w:caps/>
      <w:color w:val="2B2B2B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01C01"/>
    <w:rPr>
      <w:rFonts w:ascii="Century Gothic" w:eastAsiaTheme="majorEastAsia" w:hAnsi="Century Gothic" w:cstheme="majorBidi"/>
      <w:caps/>
      <w:color w:val="2B2B2B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47"/>
    <w:pPr>
      <w:numPr>
        <w:ilvl w:val="1"/>
      </w:numPr>
      <w:spacing w:after="240" w:line="240" w:lineRule="auto"/>
    </w:pPr>
    <w:rPr>
      <w:rFonts w:ascii="Century Gothic" w:eastAsiaTheme="majorEastAsia" w:hAnsi="Century Gothic" w:cstheme="majorBidi"/>
      <w:color w:val="8D2428" w:themeColor="accent1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B47"/>
    <w:rPr>
      <w:rFonts w:ascii="Century Gothic" w:eastAsiaTheme="majorEastAsia" w:hAnsi="Century Gothic" w:cstheme="majorBidi"/>
      <w:color w:val="8D2428" w:themeColor="accent1"/>
      <w:spacing w:val="20"/>
      <w:sz w:val="24"/>
      <w:szCs w:val="24"/>
    </w:rPr>
  </w:style>
  <w:style w:type="character" w:styleId="Strong">
    <w:name w:val="Strong"/>
    <w:basedOn w:val="DefaultParagraphFont"/>
    <w:uiPriority w:val="22"/>
    <w:qFormat/>
    <w:rsid w:val="00116C89"/>
    <w:rPr>
      <w:b/>
      <w:bCs/>
    </w:rPr>
  </w:style>
  <w:style w:type="character" w:styleId="Emphasis">
    <w:name w:val="Emphasis"/>
    <w:basedOn w:val="DefaultParagraphFont"/>
    <w:uiPriority w:val="20"/>
    <w:qFormat/>
    <w:rsid w:val="00116C89"/>
    <w:rPr>
      <w:i/>
      <w:iCs/>
    </w:rPr>
  </w:style>
  <w:style w:type="paragraph" w:styleId="NoSpacing">
    <w:name w:val="No Spacing"/>
    <w:uiPriority w:val="1"/>
    <w:qFormat/>
    <w:rsid w:val="00116C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4C77"/>
    <w:pPr>
      <w:pBdr>
        <w:left w:val="single" w:sz="4" w:space="4" w:color="8A1C1D" w:themeColor="accent2" w:themeShade="80"/>
      </w:pBdr>
      <w:spacing w:after="60" w:line="240" w:lineRule="auto"/>
      <w:ind w:left="720"/>
    </w:pPr>
    <w:rPr>
      <w:rFonts w:asciiTheme="majorHAnsi" w:hAnsiTheme="majorHAnsi" w:cstheme="majorHAnsi"/>
      <w:color w:val="8A1C1D" w:themeColor="accent2" w:themeShade="8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4C77"/>
    <w:rPr>
      <w:rFonts w:asciiTheme="majorHAnsi" w:hAnsiTheme="majorHAnsi" w:cstheme="majorHAnsi"/>
      <w:color w:val="8A1C1D" w:themeColor="accent2" w:themeShade="8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2B2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89"/>
    <w:rPr>
      <w:rFonts w:asciiTheme="majorHAnsi" w:eastAsiaTheme="majorEastAsia" w:hAnsiTheme="majorHAnsi" w:cstheme="majorBidi"/>
      <w:color w:val="2B2B2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1F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6C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6C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16C89"/>
    <w:rPr>
      <w:b/>
      <w:bCs/>
      <w:smallCaps/>
      <w:color w:val="2B2B2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16C8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C8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7DF7"/>
    <w:rPr>
      <w:color w:val="0000FF"/>
      <w:u w:val="single"/>
    </w:rPr>
  </w:style>
  <w:style w:type="paragraph" w:styleId="ListParagraph">
    <w:name w:val="List Paragraph"/>
    <w:basedOn w:val="NoSpacing"/>
    <w:uiPriority w:val="34"/>
    <w:qFormat/>
    <w:rsid w:val="00F22893"/>
    <w:pPr>
      <w:numPr>
        <w:numId w:val="3"/>
      </w:numPr>
      <w:ind w:left="540" w:hanging="270"/>
    </w:pPr>
  </w:style>
  <w:style w:type="character" w:styleId="FollowedHyperlink">
    <w:name w:val="FollowedHyperlink"/>
    <w:basedOn w:val="DefaultParagraphFont"/>
    <w:uiPriority w:val="99"/>
    <w:semiHidden/>
    <w:unhideWhenUsed/>
    <w:rsid w:val="0028369D"/>
    <w:rPr>
      <w:color w:val="9CC3E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l.gov/sites/default/files/COVID19/C19FAQ-NutritionEM_2020-03-1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VID-19">
      <a:dk1>
        <a:sysClr val="windowText" lastClr="000000"/>
      </a:dk1>
      <a:lt1>
        <a:sysClr val="window" lastClr="FFFFFF"/>
      </a:lt1>
      <a:dk2>
        <a:srgbClr val="2B2B2B"/>
      </a:dk2>
      <a:lt2>
        <a:srgbClr val="E7E6E6"/>
      </a:lt2>
      <a:accent1>
        <a:srgbClr val="8D2428"/>
      </a:accent1>
      <a:accent2>
        <a:srgbClr val="E16D6E"/>
      </a:accent2>
      <a:accent3>
        <a:srgbClr val="C5C1C2"/>
      </a:accent3>
      <a:accent4>
        <a:srgbClr val="DF8B69"/>
      </a:accent4>
      <a:accent5>
        <a:srgbClr val="E1F987"/>
      </a:accent5>
      <a:accent6>
        <a:srgbClr val="954F72"/>
      </a:accent6>
      <a:hlink>
        <a:srgbClr val="2E75B5"/>
      </a:hlink>
      <a:folHlink>
        <a:srgbClr val="9CC3E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C804-0777-4E0D-8026-3A1A7BD26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3442B-1472-4387-891A-1215A651A3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c4568af-78d6-4de7-8a7f-d4a1b22f7f5e"/>
    <ds:schemaRef ds:uri="http://purl.org/dc/elements/1.1/"/>
    <ds:schemaRef ds:uri="http://schemas.microsoft.com/office/2006/metadata/properties"/>
    <ds:schemaRef ds:uri="cba8d4a1-0a1c-4299-93a5-2682bf5a17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40F0F-DFB6-41E9-A9FF-889A334C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D72D4-B981-479C-8B42-39359A22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 COVID-19 Response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COVID-19 Response</dc:title>
  <dc:subject/>
  <dc:creator>Administration for Community Living</dc:creator>
  <cp:keywords/>
  <dc:description/>
  <cp:lastModifiedBy>Walker, Edwin L. (ACL)</cp:lastModifiedBy>
  <cp:revision>2</cp:revision>
  <dcterms:created xsi:type="dcterms:W3CDTF">2020-04-03T21:00:00Z</dcterms:created>
  <dcterms:modified xsi:type="dcterms:W3CDTF">2020-04-03T21:00:00Z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